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E3D90" w14:textId="77777777" w:rsidR="00AA4DCF" w:rsidRDefault="00AA4DCF">
      <w:pPr>
        <w:pBdr>
          <w:top w:val="nil"/>
          <w:left w:val="nil"/>
          <w:bottom w:val="nil"/>
          <w:right w:val="nil"/>
          <w:between w:val="nil"/>
        </w:pBdr>
        <w:rPr>
          <w:rFonts w:ascii="Arial" w:eastAsia="Arial" w:hAnsi="Arial" w:cs="Arial"/>
          <w:color w:val="000000"/>
        </w:rPr>
      </w:pPr>
    </w:p>
    <w:p w14:paraId="7A5CA95B" w14:textId="77777777" w:rsidR="00F1118A" w:rsidRDefault="00F1118A">
      <w:pPr>
        <w:pBdr>
          <w:top w:val="nil"/>
          <w:left w:val="nil"/>
          <w:bottom w:val="nil"/>
          <w:right w:val="nil"/>
          <w:between w:val="nil"/>
        </w:pBdr>
        <w:rPr>
          <w:rFonts w:ascii="Arial" w:eastAsia="Arial" w:hAnsi="Arial" w:cs="Arial"/>
          <w:color w:val="000000"/>
        </w:rPr>
      </w:pPr>
    </w:p>
    <w:p w14:paraId="4FDA056A" w14:textId="77777777" w:rsidR="00F1118A" w:rsidRDefault="00F1118A">
      <w:pPr>
        <w:pBdr>
          <w:top w:val="nil"/>
          <w:left w:val="nil"/>
          <w:bottom w:val="nil"/>
          <w:right w:val="nil"/>
          <w:between w:val="nil"/>
        </w:pBdr>
        <w:rPr>
          <w:rFonts w:ascii="Arial" w:eastAsia="Arial" w:hAnsi="Arial" w:cs="Arial"/>
          <w:color w:val="000000"/>
        </w:rPr>
      </w:pPr>
    </w:p>
    <w:p w14:paraId="7A0E88FF" w14:textId="7933C3F2" w:rsidR="00F1118A" w:rsidRDefault="001B7057" w:rsidP="00F1118A">
      <w:pPr>
        <w:widowControl/>
        <w:rPr>
          <w:rFonts w:ascii="Arial" w:eastAsia="Times New Roman" w:hAnsi="Arial" w:cs="Arial"/>
          <w:b/>
          <w:bCs/>
          <w:color w:val="000000"/>
          <w:lang w:bidi="ar-SA"/>
        </w:rPr>
      </w:pPr>
      <w:r>
        <w:rPr>
          <w:rFonts w:ascii="Arial" w:eastAsia="Times New Roman" w:hAnsi="Arial" w:cs="Arial"/>
          <w:b/>
          <w:bCs/>
          <w:color w:val="000000"/>
          <w:lang w:bidi="ar-SA"/>
        </w:rPr>
        <w:t>202</w:t>
      </w:r>
      <w:r w:rsidR="0006744C">
        <w:rPr>
          <w:rFonts w:ascii="Arial" w:eastAsia="Times New Roman" w:hAnsi="Arial" w:cs="Arial"/>
          <w:b/>
          <w:bCs/>
          <w:color w:val="000000"/>
          <w:lang w:bidi="ar-SA"/>
        </w:rPr>
        <w:t>5</w:t>
      </w:r>
      <w:r w:rsidR="00F1118A" w:rsidRPr="00F1118A">
        <w:rPr>
          <w:rFonts w:ascii="Arial" w:eastAsia="Times New Roman" w:hAnsi="Arial" w:cs="Arial"/>
          <w:b/>
          <w:bCs/>
          <w:color w:val="000000"/>
          <w:lang w:bidi="ar-SA"/>
        </w:rPr>
        <w:t xml:space="preserve"> Health Benefits Overview</w:t>
      </w:r>
    </w:p>
    <w:p w14:paraId="1AAAA882" w14:textId="77777777" w:rsidR="00757563" w:rsidRDefault="00757563" w:rsidP="00F1118A">
      <w:pPr>
        <w:widowControl/>
        <w:rPr>
          <w:rFonts w:ascii="Arial" w:eastAsia="Times New Roman" w:hAnsi="Arial" w:cs="Arial"/>
          <w:b/>
          <w:bCs/>
          <w:color w:val="000000"/>
          <w:lang w:bidi="ar-SA"/>
        </w:rPr>
      </w:pPr>
    </w:p>
    <w:p w14:paraId="200F3F19" w14:textId="399D4B88" w:rsidR="00757563" w:rsidRPr="00757563" w:rsidRDefault="00757563" w:rsidP="00F1118A">
      <w:pPr>
        <w:widowControl/>
        <w:rPr>
          <w:rFonts w:ascii="Times New Roman" w:eastAsia="Times New Roman" w:hAnsi="Times New Roman" w:cs="Times New Roman"/>
          <w:color w:val="0070C0"/>
          <w:sz w:val="24"/>
          <w:szCs w:val="24"/>
          <w:lang w:bidi="ar-SA"/>
        </w:rPr>
      </w:pPr>
      <w:r w:rsidRPr="00757563">
        <w:rPr>
          <w:rFonts w:ascii="Arial" w:eastAsia="Times New Roman" w:hAnsi="Arial" w:cs="Arial"/>
          <w:b/>
          <w:bCs/>
          <w:color w:val="0070C0"/>
          <w:lang w:bidi="ar-SA"/>
        </w:rPr>
        <w:t>Find the Annual Enrollment Guide here. [</w:t>
      </w:r>
      <w:r w:rsidR="00046DAB">
        <w:rPr>
          <w:rFonts w:ascii="Arial" w:eastAsia="Times New Roman" w:hAnsi="Arial" w:cs="Arial"/>
          <w:b/>
          <w:bCs/>
          <w:color w:val="0070C0"/>
          <w:lang w:bidi="ar-SA"/>
        </w:rPr>
        <w:t>coming soon</w:t>
      </w:r>
      <w:r w:rsidRPr="00757563">
        <w:rPr>
          <w:rFonts w:ascii="Arial" w:eastAsia="Times New Roman" w:hAnsi="Arial" w:cs="Arial"/>
          <w:b/>
          <w:bCs/>
          <w:color w:val="0070C0"/>
          <w:lang w:bidi="ar-SA"/>
        </w:rPr>
        <w:t>]</w:t>
      </w:r>
    </w:p>
    <w:p w14:paraId="03F45A95" w14:textId="77777777" w:rsidR="00F1118A" w:rsidRPr="00F1118A" w:rsidRDefault="00F1118A" w:rsidP="00F1118A">
      <w:pPr>
        <w:widowControl/>
        <w:rPr>
          <w:rFonts w:ascii="Times New Roman" w:eastAsia="Times New Roman" w:hAnsi="Times New Roman" w:cs="Times New Roman"/>
          <w:sz w:val="24"/>
          <w:szCs w:val="24"/>
          <w:lang w:bidi="ar-SA"/>
        </w:rPr>
      </w:pPr>
    </w:p>
    <w:p w14:paraId="5043B7F5" w14:textId="77777777"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All clergy and lay employees who are scheduled to work more than 1,000 hours annually are eligible to receive health insurance benefits through the Episcopal Church Medical Trust. All employees who are scheduled to work more than 1,500 hours annually must be provided health coverage for the employee and his or her immediate family and dependents through the Episcopal Church Medical Trust, unless a qualified waiver has been approved. </w:t>
      </w:r>
    </w:p>
    <w:p w14:paraId="50F503D3" w14:textId="77777777" w:rsidR="00F1118A" w:rsidRPr="00F1118A" w:rsidRDefault="00F1118A" w:rsidP="00F1118A">
      <w:pPr>
        <w:widowControl/>
        <w:rPr>
          <w:rFonts w:ascii="Times New Roman" w:eastAsia="Times New Roman" w:hAnsi="Times New Roman" w:cs="Times New Roman"/>
          <w:sz w:val="24"/>
          <w:szCs w:val="24"/>
          <w:lang w:bidi="ar-SA"/>
        </w:rPr>
      </w:pPr>
    </w:p>
    <w:p w14:paraId="62A09CFA" w14:textId="77777777"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ECMN will also continue to offer one additional plan for eligible employees age 65 or older who are also enrolled in Medicare Part A. If you qualify for this plan, you would fall under the Medicare Secondary Payer/Small Employer Exception (MSP/SEE) Rule. To receive this benefit, you must be enrolled in Medicare Part A and choose the Anthem PPO MS 80/90 plan. Once enrolled, Medicare will be the primary payer for Part A (hospitalization) services. Once Medicare has paid its share, the claims will be sent to Anthem, who will then pay the claims as it would for any active employee, minus the amounts paid by Medicare and your deductibles and cost shares. All eligible claims for outpatient services will be paid by Anthem</w:t>
      </w:r>
    </w:p>
    <w:p w14:paraId="46B30F2B" w14:textId="77777777" w:rsidR="00F1118A" w:rsidRPr="00F1118A" w:rsidRDefault="00F1118A" w:rsidP="00F1118A">
      <w:pPr>
        <w:widowControl/>
        <w:rPr>
          <w:rFonts w:ascii="Times New Roman" w:eastAsia="Times New Roman" w:hAnsi="Times New Roman" w:cs="Times New Roman"/>
          <w:sz w:val="24"/>
          <w:szCs w:val="24"/>
          <w:lang w:bidi="ar-SA"/>
        </w:rPr>
      </w:pPr>
    </w:p>
    <w:p w14:paraId="5E59B11F" w14:textId="59C13527"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 xml:space="preserve">Below you will find important details about our </w:t>
      </w:r>
      <w:r w:rsidR="001B7057">
        <w:rPr>
          <w:rFonts w:ascii="Arial" w:eastAsia="Times New Roman" w:hAnsi="Arial" w:cs="Arial"/>
          <w:color w:val="000000"/>
          <w:sz w:val="20"/>
          <w:szCs w:val="20"/>
          <w:lang w:bidi="ar-SA"/>
        </w:rPr>
        <w:t>202</w:t>
      </w:r>
      <w:r w:rsidR="0006744C">
        <w:rPr>
          <w:rFonts w:ascii="Arial" w:eastAsia="Times New Roman" w:hAnsi="Arial" w:cs="Arial"/>
          <w:color w:val="000000"/>
          <w:sz w:val="20"/>
          <w:szCs w:val="20"/>
          <w:lang w:bidi="ar-SA"/>
        </w:rPr>
        <w:t>5</w:t>
      </w:r>
      <w:r w:rsidRPr="00F1118A">
        <w:rPr>
          <w:rFonts w:ascii="Arial" w:eastAsia="Times New Roman" w:hAnsi="Arial" w:cs="Arial"/>
          <w:color w:val="000000"/>
          <w:sz w:val="20"/>
          <w:szCs w:val="20"/>
          <w:lang w:bidi="ar-SA"/>
        </w:rPr>
        <w:t xml:space="preserve"> health benefit offerings and Annual Enrollment process. Please share this information with your employees. </w:t>
      </w:r>
    </w:p>
    <w:p w14:paraId="31ECDD8F" w14:textId="77777777" w:rsidR="00F1118A" w:rsidRDefault="00F1118A" w:rsidP="00F1118A">
      <w:pPr>
        <w:widowControl/>
        <w:rPr>
          <w:rFonts w:ascii="Times New Roman" w:eastAsia="Times New Roman" w:hAnsi="Times New Roman" w:cs="Times New Roman"/>
          <w:sz w:val="24"/>
          <w:szCs w:val="24"/>
          <w:lang w:bidi="ar-SA"/>
        </w:rPr>
      </w:pPr>
    </w:p>
    <w:p w14:paraId="4416569C" w14:textId="77777777" w:rsidR="00D203B1" w:rsidRDefault="00D203B1" w:rsidP="00D203B1">
      <w:pPr>
        <w:widowControl/>
        <w:rPr>
          <w:rFonts w:ascii="Arial" w:eastAsia="Times New Roman" w:hAnsi="Arial" w:cs="Arial"/>
          <w:color w:val="000000"/>
          <w:sz w:val="20"/>
          <w:szCs w:val="20"/>
          <w:lang w:bidi="ar-SA"/>
        </w:rPr>
      </w:pPr>
      <w:r w:rsidRPr="00F1118A">
        <w:rPr>
          <w:rFonts w:ascii="Arial" w:eastAsia="Times New Roman" w:hAnsi="Arial" w:cs="Arial"/>
          <w:color w:val="000000"/>
          <w:sz w:val="20"/>
          <w:szCs w:val="20"/>
          <w:lang w:bidi="ar-SA"/>
        </w:rPr>
        <w:t xml:space="preserve">Our online Annual Enrollment for </w:t>
      </w:r>
      <w:r>
        <w:rPr>
          <w:rFonts w:ascii="Arial" w:eastAsia="Times New Roman" w:hAnsi="Arial" w:cs="Arial"/>
          <w:color w:val="000000"/>
          <w:sz w:val="20"/>
          <w:szCs w:val="20"/>
          <w:lang w:bidi="ar-SA"/>
        </w:rPr>
        <w:t>2025</w:t>
      </w:r>
      <w:r w:rsidRPr="00F1118A">
        <w:rPr>
          <w:rFonts w:ascii="Arial" w:eastAsia="Times New Roman" w:hAnsi="Arial" w:cs="Arial"/>
          <w:color w:val="000000"/>
          <w:sz w:val="20"/>
          <w:szCs w:val="20"/>
          <w:lang w:bidi="ar-SA"/>
        </w:rPr>
        <w:t xml:space="preserve"> will run from </w:t>
      </w:r>
      <w:r w:rsidRPr="00D1330A">
        <w:rPr>
          <w:rFonts w:ascii="Arial" w:eastAsia="Times New Roman" w:hAnsi="Arial" w:cs="Arial"/>
          <w:color w:val="000000"/>
          <w:sz w:val="20"/>
          <w:szCs w:val="20"/>
          <w:lang w:bidi="ar-SA"/>
        </w:rPr>
        <w:t>October 1</w:t>
      </w:r>
      <w:r>
        <w:rPr>
          <w:rFonts w:ascii="Arial" w:eastAsia="Times New Roman" w:hAnsi="Arial" w:cs="Arial"/>
          <w:color w:val="000000"/>
          <w:sz w:val="20"/>
          <w:szCs w:val="20"/>
          <w:lang w:bidi="ar-SA"/>
        </w:rPr>
        <w:t>6</w:t>
      </w:r>
      <w:r w:rsidRPr="00D1330A">
        <w:rPr>
          <w:rFonts w:ascii="Arial" w:eastAsia="Times New Roman" w:hAnsi="Arial" w:cs="Arial"/>
          <w:color w:val="000000"/>
          <w:sz w:val="20"/>
          <w:szCs w:val="20"/>
          <w:lang w:bidi="ar-SA"/>
        </w:rPr>
        <w:t xml:space="preserve"> to November 1</w:t>
      </w:r>
      <w:r>
        <w:rPr>
          <w:rFonts w:ascii="Arial" w:eastAsia="Times New Roman" w:hAnsi="Arial" w:cs="Arial"/>
          <w:color w:val="000000"/>
          <w:sz w:val="20"/>
          <w:szCs w:val="20"/>
          <w:lang w:bidi="ar-SA"/>
        </w:rPr>
        <w:t>5</w:t>
      </w:r>
      <w:r w:rsidRPr="00D1330A">
        <w:rPr>
          <w:rFonts w:ascii="Arial" w:eastAsia="Times New Roman" w:hAnsi="Arial" w:cs="Arial"/>
          <w:color w:val="000000"/>
          <w:sz w:val="20"/>
          <w:szCs w:val="20"/>
          <w:lang w:bidi="ar-SA"/>
        </w:rPr>
        <w:t>, 202</w:t>
      </w:r>
      <w:r>
        <w:rPr>
          <w:rFonts w:ascii="Arial" w:eastAsia="Times New Roman" w:hAnsi="Arial" w:cs="Arial"/>
          <w:color w:val="000000"/>
          <w:sz w:val="20"/>
          <w:szCs w:val="20"/>
          <w:lang w:bidi="ar-SA"/>
        </w:rPr>
        <w:t>4</w:t>
      </w:r>
      <w:r w:rsidRPr="00D1330A">
        <w:rPr>
          <w:rFonts w:ascii="Arial" w:eastAsia="Times New Roman" w:hAnsi="Arial" w:cs="Arial"/>
          <w:color w:val="000000"/>
          <w:sz w:val="20"/>
          <w:szCs w:val="20"/>
          <w:lang w:bidi="ar-SA"/>
        </w:rPr>
        <w:t>.</w:t>
      </w:r>
      <w:r w:rsidRPr="00F1118A">
        <w:rPr>
          <w:rFonts w:ascii="Arial" w:eastAsia="Times New Roman" w:hAnsi="Arial" w:cs="Arial"/>
          <w:color w:val="000000"/>
          <w:sz w:val="20"/>
          <w:szCs w:val="20"/>
          <w:lang w:bidi="ar-SA"/>
        </w:rPr>
        <w:t> </w:t>
      </w:r>
      <w:r>
        <w:rPr>
          <w:rFonts w:ascii="Arial" w:eastAsia="Times New Roman" w:hAnsi="Arial" w:cs="Arial"/>
          <w:color w:val="000000"/>
          <w:sz w:val="20"/>
          <w:szCs w:val="20"/>
          <w:lang w:bidi="ar-SA"/>
        </w:rPr>
        <w:t xml:space="preserve"> </w:t>
      </w:r>
    </w:p>
    <w:p w14:paraId="13FF4C14" w14:textId="77777777" w:rsidR="00D203B1" w:rsidRDefault="00D203B1" w:rsidP="00F1118A">
      <w:pPr>
        <w:widowControl/>
        <w:rPr>
          <w:rFonts w:ascii="Times New Roman" w:eastAsia="Times New Roman" w:hAnsi="Times New Roman" w:cs="Times New Roman"/>
          <w:sz w:val="24"/>
          <w:szCs w:val="24"/>
          <w:lang w:bidi="ar-SA"/>
        </w:rPr>
      </w:pPr>
    </w:p>
    <w:p w14:paraId="4064BCB3" w14:textId="711F119C" w:rsidR="00D203B1" w:rsidRDefault="00D203B1" w:rsidP="00D203B1">
      <w:pPr>
        <w:widowControl/>
        <w:rPr>
          <w:rFonts w:ascii="Arial" w:eastAsia="Times New Roman" w:hAnsi="Arial" w:cs="Arial"/>
          <w:b/>
          <w:bCs/>
          <w:color w:val="000000"/>
          <w:lang w:bidi="ar-SA"/>
        </w:rPr>
      </w:pPr>
      <w:r>
        <w:rPr>
          <w:rFonts w:ascii="Arial" w:eastAsia="Times New Roman" w:hAnsi="Arial" w:cs="Arial"/>
          <w:b/>
          <w:bCs/>
          <w:color w:val="000000"/>
          <w:lang w:bidi="ar-SA"/>
        </w:rPr>
        <w:t xml:space="preserve">New Healthcare Coordinator </w:t>
      </w:r>
      <w:r w:rsidRPr="00FA5A2F">
        <w:rPr>
          <w:rFonts w:ascii="Arial" w:eastAsia="Times New Roman" w:hAnsi="Arial" w:cs="Arial"/>
          <w:b/>
          <w:bCs/>
          <w:color w:val="000000"/>
          <w:lang w:bidi="ar-SA"/>
        </w:rPr>
        <w:t xml:space="preserve">for </w:t>
      </w:r>
      <w:r>
        <w:rPr>
          <w:rFonts w:ascii="Arial" w:eastAsia="Times New Roman" w:hAnsi="Arial" w:cs="Arial"/>
          <w:b/>
          <w:bCs/>
          <w:color w:val="000000"/>
          <w:lang w:bidi="ar-SA"/>
        </w:rPr>
        <w:t>2025</w:t>
      </w:r>
    </w:p>
    <w:p w14:paraId="741E1492" w14:textId="77777777" w:rsidR="00D203B1" w:rsidRDefault="00D203B1" w:rsidP="00D203B1">
      <w:pPr>
        <w:widowControl/>
        <w:rPr>
          <w:rFonts w:ascii="Arial" w:eastAsia="Times New Roman" w:hAnsi="Arial" w:cs="Arial"/>
          <w:b/>
          <w:bCs/>
          <w:color w:val="000000"/>
          <w:lang w:bidi="ar-SA"/>
        </w:rPr>
      </w:pPr>
    </w:p>
    <w:p w14:paraId="7431E250" w14:textId="3AE9224C" w:rsidR="005A404C" w:rsidRPr="005A404C" w:rsidRDefault="00D203B1" w:rsidP="00D203B1">
      <w:pPr>
        <w:widowControl/>
        <w:rPr>
          <w:rFonts w:ascii="Arial" w:eastAsia="Times New Roman" w:hAnsi="Arial" w:cs="Arial"/>
          <w:color w:val="000000"/>
          <w:sz w:val="20"/>
          <w:szCs w:val="20"/>
          <w:lang w:bidi="ar-SA"/>
        </w:rPr>
      </w:pPr>
      <w:r w:rsidRPr="005A404C">
        <w:rPr>
          <w:rFonts w:ascii="Arial" w:eastAsia="Times New Roman" w:hAnsi="Arial" w:cs="Arial"/>
          <w:color w:val="000000"/>
          <w:sz w:val="20"/>
          <w:szCs w:val="20"/>
          <w:lang w:bidi="ar-SA"/>
        </w:rPr>
        <w:t>The Church Pension Group is introducing a new vendor Quantum Health (Quantum).</w:t>
      </w:r>
    </w:p>
    <w:p w14:paraId="5647573E" w14:textId="77777777" w:rsidR="005A404C" w:rsidRPr="005A404C" w:rsidRDefault="005A404C" w:rsidP="00D203B1">
      <w:pPr>
        <w:widowControl/>
        <w:rPr>
          <w:rFonts w:ascii="Arial" w:eastAsia="Times New Roman" w:hAnsi="Arial" w:cs="Arial"/>
          <w:color w:val="000000"/>
          <w:sz w:val="20"/>
          <w:szCs w:val="20"/>
          <w:lang w:bidi="ar-SA"/>
        </w:rPr>
      </w:pPr>
    </w:p>
    <w:p w14:paraId="6EF15FA2" w14:textId="12EC5995" w:rsidR="00D203B1" w:rsidRPr="005A404C" w:rsidRDefault="00D203B1" w:rsidP="00D203B1">
      <w:pPr>
        <w:widowControl/>
        <w:rPr>
          <w:rFonts w:ascii="Arial" w:eastAsia="Times New Roman" w:hAnsi="Arial" w:cs="Arial"/>
          <w:color w:val="000000"/>
          <w:sz w:val="20"/>
          <w:szCs w:val="20"/>
          <w:lang w:bidi="ar-SA"/>
        </w:rPr>
      </w:pPr>
      <w:r w:rsidRPr="00EF20F3">
        <w:rPr>
          <w:rFonts w:ascii="Arial" w:eastAsia="Times New Roman" w:hAnsi="Arial" w:cs="Arial"/>
          <w:color w:val="000000"/>
          <w:sz w:val="20"/>
          <w:szCs w:val="20"/>
          <w:highlight w:val="yellow"/>
          <w:lang w:bidi="ar-SA"/>
        </w:rPr>
        <w:t>Quantum will be available during Annual Enrollment at 866-871-0629 to members enrolled or eligible to enroll if they need help understanding plan options or choosing the right plans for themselves and their dependents.</w:t>
      </w:r>
      <w:r w:rsidRPr="005A404C">
        <w:rPr>
          <w:rFonts w:ascii="Arial" w:eastAsia="Times New Roman" w:hAnsi="Arial" w:cs="Arial"/>
          <w:color w:val="000000"/>
          <w:sz w:val="20"/>
          <w:szCs w:val="20"/>
          <w:lang w:bidi="ar-SA"/>
        </w:rPr>
        <w:t>   </w:t>
      </w:r>
    </w:p>
    <w:p w14:paraId="0DD0438E" w14:textId="77777777" w:rsidR="005A404C" w:rsidRPr="005A404C" w:rsidRDefault="005A404C" w:rsidP="00D203B1">
      <w:pPr>
        <w:widowControl/>
        <w:rPr>
          <w:rFonts w:ascii="Arial" w:eastAsia="Times New Roman" w:hAnsi="Arial" w:cs="Arial"/>
          <w:color w:val="000000"/>
          <w:sz w:val="20"/>
          <w:szCs w:val="20"/>
          <w:lang w:bidi="ar-SA"/>
        </w:rPr>
      </w:pPr>
    </w:p>
    <w:p w14:paraId="1A00D1D7" w14:textId="39A11FD4" w:rsidR="005A404C" w:rsidRDefault="005A404C" w:rsidP="00D203B1">
      <w:pPr>
        <w:widowControl/>
        <w:rPr>
          <w:rFonts w:ascii="Arial" w:eastAsia="Times New Roman" w:hAnsi="Arial" w:cs="Arial"/>
          <w:color w:val="000000"/>
          <w:sz w:val="20"/>
          <w:szCs w:val="20"/>
          <w:lang w:bidi="ar-SA"/>
        </w:rPr>
      </w:pPr>
      <w:r w:rsidRPr="005A404C">
        <w:rPr>
          <w:rFonts w:ascii="Arial" w:eastAsia="Times New Roman" w:hAnsi="Arial" w:cs="Arial"/>
          <w:color w:val="000000"/>
          <w:sz w:val="20"/>
          <w:szCs w:val="20"/>
          <w:lang w:bidi="ar-SA"/>
        </w:rPr>
        <w:t>Quantum will know the full array of plans being offered for 2025 but not the specific subset being made available to any one individual. Therefore, members who require assistance choosing a plan will need to know which options they can choose from before calling Quantum.</w:t>
      </w:r>
      <w:r>
        <w:rPr>
          <w:rFonts w:ascii="Arial" w:eastAsia="Times New Roman" w:hAnsi="Arial" w:cs="Arial"/>
          <w:color w:val="000000"/>
          <w:sz w:val="20"/>
          <w:szCs w:val="20"/>
          <w:lang w:bidi="ar-SA"/>
        </w:rPr>
        <w:t xml:space="preserve"> Plan options and comparison information is linked below.</w:t>
      </w:r>
    </w:p>
    <w:p w14:paraId="47E6968C" w14:textId="77777777" w:rsidR="005A404C" w:rsidRDefault="005A404C" w:rsidP="00D203B1">
      <w:pPr>
        <w:widowControl/>
        <w:rPr>
          <w:rFonts w:ascii="Arial" w:eastAsia="Times New Roman" w:hAnsi="Arial" w:cs="Arial"/>
          <w:color w:val="000000"/>
          <w:sz w:val="20"/>
          <w:szCs w:val="20"/>
          <w:lang w:bidi="ar-SA"/>
        </w:rPr>
      </w:pPr>
    </w:p>
    <w:p w14:paraId="1AA505AC" w14:textId="47D750BB" w:rsidR="005A404C" w:rsidRDefault="005A404C" w:rsidP="00F1118A">
      <w:pPr>
        <w:widowControl/>
        <w:rPr>
          <w:rFonts w:ascii="Arial" w:eastAsia="Times New Roman" w:hAnsi="Arial" w:cs="Arial"/>
          <w:color w:val="000000"/>
          <w:sz w:val="20"/>
          <w:szCs w:val="20"/>
          <w:lang w:bidi="ar-SA"/>
        </w:rPr>
      </w:pPr>
      <w:r w:rsidRPr="005A404C">
        <w:rPr>
          <w:rFonts w:ascii="Arial" w:eastAsia="Times New Roman" w:hAnsi="Arial" w:cs="Arial"/>
          <w:color w:val="000000"/>
          <w:sz w:val="20"/>
          <w:szCs w:val="20"/>
          <w:lang w:bidi="ar-SA"/>
        </w:rPr>
        <w:t xml:space="preserve">Quantum </w:t>
      </w:r>
      <w:r>
        <w:rPr>
          <w:rFonts w:ascii="Arial" w:eastAsia="Times New Roman" w:hAnsi="Arial" w:cs="Arial"/>
          <w:color w:val="000000"/>
          <w:sz w:val="20"/>
          <w:szCs w:val="20"/>
          <w:lang w:bidi="ar-SA"/>
        </w:rPr>
        <w:t>will issue one identification card which will be for</w:t>
      </w:r>
      <w:r w:rsidRPr="005A404C">
        <w:rPr>
          <w:rFonts w:ascii="Arial" w:eastAsia="Times New Roman" w:hAnsi="Arial" w:cs="Arial"/>
          <w:color w:val="000000"/>
          <w:sz w:val="20"/>
          <w:szCs w:val="20"/>
          <w:lang w:bidi="ar-SA"/>
        </w:rPr>
        <w:t xml:space="preserve"> </w:t>
      </w:r>
      <w:r>
        <w:rPr>
          <w:rFonts w:ascii="Arial" w:eastAsia="Times New Roman" w:hAnsi="Arial" w:cs="Arial"/>
          <w:color w:val="000000"/>
          <w:sz w:val="20"/>
          <w:szCs w:val="20"/>
          <w:lang w:bidi="ar-SA"/>
        </w:rPr>
        <w:t xml:space="preserve">medical, </w:t>
      </w:r>
      <w:r w:rsidRPr="005A404C">
        <w:rPr>
          <w:rFonts w:ascii="Arial" w:eastAsia="Times New Roman" w:hAnsi="Arial" w:cs="Arial"/>
          <w:color w:val="000000"/>
          <w:sz w:val="20"/>
          <w:szCs w:val="20"/>
          <w:lang w:bidi="ar-SA"/>
        </w:rPr>
        <w:t>prescription</w:t>
      </w:r>
      <w:r>
        <w:rPr>
          <w:rFonts w:ascii="Arial" w:eastAsia="Times New Roman" w:hAnsi="Arial" w:cs="Arial"/>
          <w:color w:val="000000"/>
          <w:sz w:val="20"/>
          <w:szCs w:val="20"/>
          <w:lang w:bidi="ar-SA"/>
        </w:rPr>
        <w:t xml:space="preserve">, </w:t>
      </w:r>
      <w:r w:rsidRPr="005A404C">
        <w:rPr>
          <w:rFonts w:ascii="Arial" w:eastAsia="Times New Roman" w:hAnsi="Arial" w:cs="Arial"/>
          <w:color w:val="000000"/>
          <w:sz w:val="20"/>
          <w:szCs w:val="20"/>
          <w:lang w:bidi="ar-SA"/>
        </w:rPr>
        <w:t>vision</w:t>
      </w:r>
      <w:r>
        <w:rPr>
          <w:rFonts w:ascii="Arial" w:eastAsia="Times New Roman" w:hAnsi="Arial" w:cs="Arial"/>
          <w:color w:val="000000"/>
          <w:sz w:val="20"/>
          <w:szCs w:val="20"/>
          <w:lang w:bidi="ar-SA"/>
        </w:rPr>
        <w:t xml:space="preserve"> and behavioral health</w:t>
      </w:r>
      <w:r w:rsidRPr="005A404C">
        <w:rPr>
          <w:rFonts w:ascii="Arial" w:eastAsia="Times New Roman" w:hAnsi="Arial" w:cs="Arial"/>
          <w:color w:val="000000"/>
          <w:sz w:val="20"/>
          <w:szCs w:val="20"/>
          <w:lang w:bidi="ar-SA"/>
        </w:rPr>
        <w:t xml:space="preserve">. Quantum is also where you'd go for health advocacy support as they can find in-network providers, verify coverage, get approvals, answer claim/benefit questions, coordinate treatment/care, review care options, look for the best costs to help members save on out-of-pocket and a lot more. </w:t>
      </w:r>
    </w:p>
    <w:p w14:paraId="1C2CB215" w14:textId="77777777" w:rsidR="004A01EB" w:rsidRDefault="004A01EB" w:rsidP="00F1118A">
      <w:pPr>
        <w:widowControl/>
        <w:rPr>
          <w:rFonts w:ascii="Arial" w:eastAsia="Times New Roman" w:hAnsi="Arial" w:cs="Arial"/>
          <w:color w:val="000000"/>
          <w:sz w:val="20"/>
          <w:szCs w:val="20"/>
          <w:lang w:bidi="ar-SA"/>
        </w:rPr>
      </w:pPr>
    </w:p>
    <w:p w14:paraId="3B0E007E" w14:textId="695F387A" w:rsidR="004A01EB" w:rsidRPr="005A404C" w:rsidRDefault="004A01EB" w:rsidP="00F1118A">
      <w:pPr>
        <w:widowControl/>
        <w:rPr>
          <w:rFonts w:ascii="Arial" w:eastAsia="Times New Roman" w:hAnsi="Arial" w:cs="Arial"/>
          <w:color w:val="000000"/>
          <w:sz w:val="20"/>
          <w:szCs w:val="20"/>
          <w:lang w:bidi="ar-SA"/>
        </w:rPr>
      </w:pPr>
      <w:r>
        <w:rPr>
          <w:rFonts w:ascii="Arial" w:eastAsia="Times New Roman" w:hAnsi="Arial" w:cs="Arial"/>
          <w:color w:val="000000"/>
          <w:sz w:val="20"/>
          <w:szCs w:val="20"/>
          <w:lang w:bidi="ar-SA"/>
        </w:rPr>
        <w:t xml:space="preserve">Here’s a link of short Quantum introduction videos with more information: </w:t>
      </w:r>
      <w:r w:rsidRPr="004A01EB">
        <w:rPr>
          <w:rFonts w:ascii="Arial" w:eastAsia="Times New Roman" w:hAnsi="Arial" w:cs="Arial"/>
          <w:color w:val="000000"/>
          <w:sz w:val="20"/>
          <w:szCs w:val="20"/>
          <w:lang w:bidi="ar-SA"/>
        </w:rPr>
        <w:t>https://fast.wistia.com/embed/channel/dz9bp67lgn?wchannelid=dz9bp67lgn</w:t>
      </w:r>
    </w:p>
    <w:p w14:paraId="02EC5FD1" w14:textId="77777777" w:rsidR="00757563" w:rsidRDefault="00757563" w:rsidP="00F1118A">
      <w:pPr>
        <w:widowControl/>
        <w:rPr>
          <w:rFonts w:ascii="Arial" w:eastAsia="Times New Roman" w:hAnsi="Arial" w:cs="Arial"/>
          <w:color w:val="000000"/>
          <w:sz w:val="20"/>
          <w:szCs w:val="20"/>
          <w:lang w:bidi="ar-SA"/>
        </w:rPr>
      </w:pPr>
    </w:p>
    <w:p w14:paraId="3C9F7312" w14:textId="548F49E0" w:rsidR="00FA5A2F" w:rsidRDefault="00FA5A2F" w:rsidP="00FA5A2F">
      <w:pPr>
        <w:widowControl/>
        <w:rPr>
          <w:rFonts w:ascii="Arial" w:eastAsia="Times New Roman" w:hAnsi="Arial" w:cs="Arial"/>
          <w:b/>
          <w:bCs/>
          <w:color w:val="000000"/>
          <w:lang w:bidi="ar-SA"/>
        </w:rPr>
      </w:pPr>
      <w:r w:rsidRPr="00FA5A2F">
        <w:rPr>
          <w:rFonts w:ascii="Arial" w:eastAsia="Times New Roman" w:hAnsi="Arial" w:cs="Arial"/>
          <w:b/>
          <w:bCs/>
          <w:color w:val="000000"/>
          <w:lang w:bidi="ar-SA"/>
        </w:rPr>
        <w:t xml:space="preserve">Monthly Premium rates for </w:t>
      </w:r>
      <w:r w:rsidR="001B7057">
        <w:rPr>
          <w:rFonts w:ascii="Arial" w:eastAsia="Times New Roman" w:hAnsi="Arial" w:cs="Arial"/>
          <w:b/>
          <w:bCs/>
          <w:color w:val="000000"/>
          <w:lang w:bidi="ar-SA"/>
        </w:rPr>
        <w:t>202</w:t>
      </w:r>
      <w:r w:rsidR="0006744C">
        <w:rPr>
          <w:rFonts w:ascii="Arial" w:eastAsia="Times New Roman" w:hAnsi="Arial" w:cs="Arial"/>
          <w:b/>
          <w:bCs/>
          <w:color w:val="000000"/>
          <w:lang w:bidi="ar-SA"/>
        </w:rPr>
        <w:t>5</w:t>
      </w:r>
    </w:p>
    <w:p w14:paraId="4C0E510E" w14:textId="77777777" w:rsidR="00757563" w:rsidRPr="00FA5A2F" w:rsidRDefault="00757563" w:rsidP="00FA5A2F">
      <w:pPr>
        <w:widowControl/>
        <w:rPr>
          <w:rFonts w:ascii="Times New Roman" w:eastAsia="Times New Roman" w:hAnsi="Times New Roman" w:cs="Times New Roman"/>
          <w:sz w:val="24"/>
          <w:szCs w:val="24"/>
          <w:lang w:bidi="ar-SA"/>
        </w:rPr>
      </w:pPr>
    </w:p>
    <w:p w14:paraId="5C4865EB" w14:textId="039AFB42" w:rsidR="00757563" w:rsidRDefault="00757563" w:rsidP="00757563">
      <w:pPr>
        <w:widowControl/>
        <w:rPr>
          <w:rFonts w:ascii="Arial" w:eastAsia="Times New Roman" w:hAnsi="Arial" w:cs="Arial"/>
          <w:b/>
          <w:bCs/>
          <w:color w:val="0070C0"/>
          <w:lang w:bidi="ar-SA"/>
        </w:rPr>
      </w:pPr>
      <w:r w:rsidRPr="00757563">
        <w:rPr>
          <w:rFonts w:ascii="Arial" w:eastAsia="Times New Roman" w:hAnsi="Arial" w:cs="Arial"/>
          <w:b/>
          <w:bCs/>
          <w:color w:val="0070C0"/>
          <w:lang w:bidi="ar-SA"/>
        </w:rPr>
        <w:t>Find 202</w:t>
      </w:r>
      <w:r w:rsidR="0006744C">
        <w:rPr>
          <w:rFonts w:ascii="Arial" w:eastAsia="Times New Roman" w:hAnsi="Arial" w:cs="Arial"/>
          <w:b/>
          <w:bCs/>
          <w:color w:val="0070C0"/>
          <w:lang w:bidi="ar-SA"/>
        </w:rPr>
        <w:t>5</w:t>
      </w:r>
      <w:r w:rsidRPr="00757563">
        <w:rPr>
          <w:rFonts w:ascii="Arial" w:eastAsia="Times New Roman" w:hAnsi="Arial" w:cs="Arial"/>
          <w:b/>
          <w:bCs/>
          <w:color w:val="0070C0"/>
          <w:lang w:bidi="ar-SA"/>
        </w:rPr>
        <w:t xml:space="preserve"> medical and dental rates here. [attachment for link to be provided]</w:t>
      </w:r>
    </w:p>
    <w:p w14:paraId="34575415" w14:textId="77777777" w:rsidR="005A404C" w:rsidRDefault="005A404C" w:rsidP="00757563">
      <w:pPr>
        <w:widowControl/>
        <w:rPr>
          <w:rFonts w:ascii="Arial" w:eastAsia="Times New Roman" w:hAnsi="Arial" w:cs="Arial"/>
          <w:b/>
          <w:bCs/>
          <w:color w:val="0070C0"/>
          <w:lang w:bidi="ar-SA"/>
        </w:rPr>
      </w:pPr>
    </w:p>
    <w:p w14:paraId="090D95EE" w14:textId="77777777" w:rsidR="005A404C" w:rsidRDefault="005A404C" w:rsidP="00757563">
      <w:pPr>
        <w:widowControl/>
        <w:rPr>
          <w:rFonts w:ascii="Arial" w:eastAsia="Times New Roman" w:hAnsi="Arial" w:cs="Arial"/>
          <w:b/>
          <w:bCs/>
          <w:color w:val="0070C0"/>
          <w:lang w:bidi="ar-SA"/>
        </w:rPr>
      </w:pPr>
    </w:p>
    <w:p w14:paraId="789A3F14" w14:textId="77777777" w:rsidR="005A404C" w:rsidRPr="00757563" w:rsidRDefault="005A404C" w:rsidP="00757563">
      <w:pPr>
        <w:widowControl/>
        <w:rPr>
          <w:rFonts w:ascii="Arial" w:eastAsia="Times New Roman" w:hAnsi="Arial" w:cs="Arial"/>
          <w:b/>
          <w:bCs/>
          <w:color w:val="0070C0"/>
          <w:lang w:bidi="ar-SA"/>
        </w:rPr>
      </w:pPr>
    </w:p>
    <w:p w14:paraId="607ACE6C" w14:textId="77777777" w:rsidR="00757563" w:rsidRPr="00FA5A2F" w:rsidRDefault="00757563" w:rsidP="00757563">
      <w:pPr>
        <w:widowControl/>
        <w:rPr>
          <w:rFonts w:ascii="Times New Roman" w:eastAsia="Times New Roman" w:hAnsi="Times New Roman" w:cs="Times New Roman"/>
          <w:sz w:val="24"/>
          <w:szCs w:val="24"/>
          <w:lang w:bidi="ar-SA"/>
        </w:rPr>
      </w:pPr>
    </w:p>
    <w:p w14:paraId="16EDDF9B" w14:textId="77777777" w:rsidR="005A404C" w:rsidRDefault="005A404C" w:rsidP="00F1118A">
      <w:pPr>
        <w:widowControl/>
        <w:rPr>
          <w:rFonts w:ascii="Arial" w:eastAsia="Times New Roman" w:hAnsi="Arial" w:cs="Arial"/>
          <w:b/>
          <w:bCs/>
          <w:color w:val="000000"/>
          <w:lang w:bidi="ar-SA"/>
        </w:rPr>
      </w:pPr>
    </w:p>
    <w:p w14:paraId="4E6242F2" w14:textId="77777777" w:rsidR="005A404C" w:rsidRDefault="005A404C" w:rsidP="00F1118A">
      <w:pPr>
        <w:widowControl/>
        <w:rPr>
          <w:rFonts w:ascii="Arial" w:eastAsia="Times New Roman" w:hAnsi="Arial" w:cs="Arial"/>
          <w:b/>
          <w:bCs/>
          <w:color w:val="000000"/>
          <w:lang w:bidi="ar-SA"/>
        </w:rPr>
      </w:pPr>
    </w:p>
    <w:p w14:paraId="14D9B755" w14:textId="77777777" w:rsidR="00EF20F3" w:rsidRDefault="00EF20F3" w:rsidP="00F1118A">
      <w:pPr>
        <w:widowControl/>
        <w:rPr>
          <w:rFonts w:ascii="Arial" w:eastAsia="Times New Roman" w:hAnsi="Arial" w:cs="Arial"/>
          <w:b/>
          <w:bCs/>
          <w:color w:val="000000"/>
          <w:lang w:bidi="ar-SA"/>
        </w:rPr>
      </w:pPr>
    </w:p>
    <w:p w14:paraId="624DEE35" w14:textId="3EA80205"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b/>
          <w:bCs/>
          <w:color w:val="000000"/>
          <w:lang w:bidi="ar-SA"/>
        </w:rPr>
        <w:t>Benefit Eligibility </w:t>
      </w:r>
    </w:p>
    <w:p w14:paraId="62B85373" w14:textId="77777777" w:rsidR="00F1118A" w:rsidRPr="00F1118A" w:rsidRDefault="00F1118A" w:rsidP="00F1118A">
      <w:pPr>
        <w:widowControl/>
        <w:rPr>
          <w:rFonts w:ascii="Times New Roman" w:eastAsia="Times New Roman" w:hAnsi="Times New Roman" w:cs="Times New Roman"/>
          <w:sz w:val="24"/>
          <w:szCs w:val="24"/>
          <w:lang w:bidi="ar-SA"/>
        </w:rPr>
      </w:pPr>
    </w:p>
    <w:p w14:paraId="546647B4" w14:textId="77777777"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All exempt (salaried) employees are eligible for benefits, and access to benefit plans for non-exempt employees begins when an employee is scheduled for at least 1,000 hours annually. Employer provided benefits are required when an employee is scheduled for 1,500 hours annually.</w:t>
      </w:r>
    </w:p>
    <w:p w14:paraId="72D9B7ED" w14:textId="77777777" w:rsidR="00F1118A" w:rsidRPr="00F1118A" w:rsidRDefault="00F1118A" w:rsidP="00F1118A">
      <w:pPr>
        <w:widowControl/>
        <w:rPr>
          <w:rFonts w:ascii="Times New Roman" w:eastAsia="Times New Roman" w:hAnsi="Times New Roman" w:cs="Times New Roman"/>
          <w:sz w:val="24"/>
          <w:szCs w:val="24"/>
          <w:lang w:bidi="ar-SA"/>
        </w:rPr>
      </w:pPr>
    </w:p>
    <w:p w14:paraId="257202C0" w14:textId="2B36391D"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b/>
          <w:bCs/>
          <w:color w:val="000000"/>
          <w:lang w:bidi="ar-SA"/>
        </w:rPr>
        <w:t xml:space="preserve">During the </w:t>
      </w:r>
      <w:r w:rsidR="0006744C">
        <w:rPr>
          <w:rFonts w:ascii="Arial" w:eastAsia="Times New Roman" w:hAnsi="Arial" w:cs="Arial"/>
          <w:b/>
          <w:bCs/>
          <w:color w:val="000000"/>
          <w:lang w:bidi="ar-SA"/>
        </w:rPr>
        <w:t>Annual</w:t>
      </w:r>
      <w:r w:rsidRPr="00F1118A">
        <w:rPr>
          <w:rFonts w:ascii="Arial" w:eastAsia="Times New Roman" w:hAnsi="Arial" w:cs="Arial"/>
          <w:b/>
          <w:bCs/>
          <w:color w:val="000000"/>
          <w:lang w:bidi="ar-SA"/>
        </w:rPr>
        <w:t xml:space="preserve"> Enrollment Period</w:t>
      </w:r>
    </w:p>
    <w:p w14:paraId="21E038C6" w14:textId="77777777" w:rsidR="00F1118A" w:rsidRPr="00F1118A" w:rsidRDefault="00F1118A" w:rsidP="00F1118A">
      <w:pPr>
        <w:widowControl/>
        <w:rPr>
          <w:rFonts w:ascii="Times New Roman" w:eastAsia="Times New Roman" w:hAnsi="Times New Roman" w:cs="Times New Roman"/>
          <w:sz w:val="24"/>
          <w:szCs w:val="24"/>
          <w:lang w:bidi="ar-SA"/>
        </w:rPr>
      </w:pPr>
    </w:p>
    <w:p w14:paraId="31EEC02C" w14:textId="77777777"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 Current plan members may change their plan selections for the following year </w:t>
      </w:r>
    </w:p>
    <w:p w14:paraId="2F4F3353" w14:textId="77777777"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 Eligible non-participating employees have the option to join a plan </w:t>
      </w:r>
    </w:p>
    <w:p w14:paraId="0C70BABE" w14:textId="77777777"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 Eligible non-participating dependents may be added to a member’s plan without the need of qualifying event </w:t>
      </w:r>
    </w:p>
    <w:p w14:paraId="3D88E32D" w14:textId="77777777" w:rsidR="00757563" w:rsidRDefault="00757563" w:rsidP="00F1118A">
      <w:pPr>
        <w:widowControl/>
        <w:rPr>
          <w:rFonts w:ascii="Arial" w:eastAsia="Times New Roman" w:hAnsi="Arial" w:cs="Arial"/>
          <w:b/>
          <w:bCs/>
          <w:color w:val="000000"/>
          <w:lang w:bidi="ar-SA"/>
        </w:rPr>
      </w:pPr>
    </w:p>
    <w:p w14:paraId="47801614" w14:textId="77777777"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b/>
          <w:bCs/>
          <w:color w:val="000000"/>
          <w:lang w:bidi="ar-SA"/>
        </w:rPr>
        <w:t>Currently Enrolled Employees</w:t>
      </w:r>
    </w:p>
    <w:p w14:paraId="17DBEA37" w14:textId="77777777" w:rsidR="00F1118A" w:rsidRPr="00F1118A" w:rsidRDefault="00F1118A" w:rsidP="00F1118A">
      <w:pPr>
        <w:widowControl/>
        <w:rPr>
          <w:rFonts w:ascii="Times New Roman" w:eastAsia="Times New Roman" w:hAnsi="Times New Roman" w:cs="Times New Roman"/>
          <w:sz w:val="24"/>
          <w:szCs w:val="24"/>
          <w:lang w:bidi="ar-SA"/>
        </w:rPr>
      </w:pPr>
    </w:p>
    <w:p w14:paraId="6AB4F780" w14:textId="251F019D"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 xml:space="preserve">Please inform your currently enrolled employees (plan members) that they will receive a letter from the Medical Trust approximately one week before the </w:t>
      </w:r>
      <w:r w:rsidR="0006744C">
        <w:rPr>
          <w:rFonts w:ascii="Arial" w:eastAsia="Times New Roman" w:hAnsi="Arial" w:cs="Arial"/>
          <w:color w:val="000000"/>
          <w:sz w:val="20"/>
          <w:szCs w:val="20"/>
          <w:lang w:bidi="ar-SA"/>
        </w:rPr>
        <w:t>Annual</w:t>
      </w:r>
      <w:r w:rsidRPr="00F1118A">
        <w:rPr>
          <w:rFonts w:ascii="Arial" w:eastAsia="Times New Roman" w:hAnsi="Arial" w:cs="Arial"/>
          <w:color w:val="000000"/>
          <w:sz w:val="20"/>
          <w:szCs w:val="20"/>
          <w:lang w:bidi="ar-SA"/>
        </w:rPr>
        <w:t xml:space="preserve"> Enrollment period. This letter will provide them with information on when and how to access the </w:t>
      </w:r>
      <w:r w:rsidR="0006744C">
        <w:rPr>
          <w:rFonts w:ascii="Arial" w:eastAsia="Times New Roman" w:hAnsi="Arial" w:cs="Arial"/>
          <w:color w:val="000000"/>
          <w:sz w:val="20"/>
          <w:szCs w:val="20"/>
          <w:lang w:bidi="ar-SA"/>
        </w:rPr>
        <w:t>Annual</w:t>
      </w:r>
      <w:r w:rsidRPr="00F1118A">
        <w:rPr>
          <w:rFonts w:ascii="Arial" w:eastAsia="Times New Roman" w:hAnsi="Arial" w:cs="Arial"/>
          <w:color w:val="000000"/>
          <w:sz w:val="20"/>
          <w:szCs w:val="20"/>
          <w:lang w:bidi="ar-SA"/>
        </w:rPr>
        <w:t xml:space="preserve"> Enrollment website, a benefits review, and links to important plan resources. In your communications, encourage your employees to begin reviewing their options</w:t>
      </w:r>
      <w:r w:rsidR="005A404C">
        <w:rPr>
          <w:rFonts w:ascii="Arial" w:eastAsia="Times New Roman" w:hAnsi="Arial" w:cs="Arial"/>
          <w:color w:val="000000"/>
          <w:sz w:val="20"/>
          <w:szCs w:val="20"/>
          <w:lang w:bidi="ar-SA"/>
        </w:rPr>
        <w:t xml:space="preserve">, </w:t>
      </w:r>
      <w:r w:rsidRPr="00F1118A">
        <w:rPr>
          <w:rFonts w:ascii="Arial" w:eastAsia="Times New Roman" w:hAnsi="Arial" w:cs="Arial"/>
          <w:color w:val="000000"/>
          <w:sz w:val="20"/>
          <w:szCs w:val="20"/>
          <w:lang w:bidi="ar-SA"/>
        </w:rPr>
        <w:t>research plans early</w:t>
      </w:r>
      <w:r w:rsidR="005A404C">
        <w:rPr>
          <w:rFonts w:ascii="Arial" w:eastAsia="Times New Roman" w:hAnsi="Arial" w:cs="Arial"/>
          <w:color w:val="000000"/>
          <w:sz w:val="20"/>
          <w:szCs w:val="20"/>
          <w:lang w:bidi="ar-SA"/>
        </w:rPr>
        <w:t xml:space="preserve"> and contact Quantum to discuss their plan choice</w:t>
      </w:r>
      <w:r w:rsidRPr="00F1118A">
        <w:rPr>
          <w:rFonts w:ascii="Arial" w:eastAsia="Times New Roman" w:hAnsi="Arial" w:cs="Arial"/>
          <w:color w:val="000000"/>
          <w:sz w:val="20"/>
          <w:szCs w:val="20"/>
          <w:lang w:bidi="ar-SA"/>
        </w:rPr>
        <w:t>.</w:t>
      </w:r>
      <w:r w:rsidR="005A404C">
        <w:rPr>
          <w:rFonts w:ascii="Arial" w:eastAsia="Times New Roman" w:hAnsi="Arial" w:cs="Arial"/>
          <w:color w:val="000000"/>
          <w:sz w:val="20"/>
          <w:szCs w:val="20"/>
          <w:lang w:bidi="ar-SA"/>
        </w:rPr>
        <w:t xml:space="preserve"> </w:t>
      </w:r>
      <w:r w:rsidR="005A404C" w:rsidRPr="005A404C">
        <w:rPr>
          <w:rFonts w:ascii="Arial" w:eastAsia="Times New Roman" w:hAnsi="Arial" w:cs="Arial"/>
          <w:color w:val="000000"/>
          <w:sz w:val="20"/>
          <w:szCs w:val="20"/>
          <w:highlight w:val="yellow"/>
          <w:lang w:bidi="ar-SA"/>
        </w:rPr>
        <w:t xml:space="preserve">Proper plan selection can eliminate benefit waste and keep </w:t>
      </w:r>
      <w:r w:rsidR="005A404C">
        <w:rPr>
          <w:rFonts w:ascii="Arial" w:eastAsia="Times New Roman" w:hAnsi="Arial" w:cs="Arial"/>
          <w:color w:val="000000"/>
          <w:sz w:val="20"/>
          <w:szCs w:val="20"/>
          <w:highlight w:val="yellow"/>
          <w:lang w:bidi="ar-SA"/>
        </w:rPr>
        <w:t>annual</w:t>
      </w:r>
      <w:r w:rsidR="005A404C" w:rsidRPr="005A404C">
        <w:rPr>
          <w:rFonts w:ascii="Arial" w:eastAsia="Times New Roman" w:hAnsi="Arial" w:cs="Arial"/>
          <w:color w:val="000000"/>
          <w:sz w:val="20"/>
          <w:szCs w:val="20"/>
          <w:highlight w:val="yellow"/>
          <w:lang w:bidi="ar-SA"/>
        </w:rPr>
        <w:t xml:space="preserve"> premiums static.</w:t>
      </w:r>
    </w:p>
    <w:p w14:paraId="3B87DA31" w14:textId="77777777" w:rsidR="00F1118A" w:rsidRPr="00F1118A" w:rsidRDefault="00F1118A" w:rsidP="00F1118A">
      <w:pPr>
        <w:widowControl/>
        <w:rPr>
          <w:rFonts w:ascii="Times New Roman" w:eastAsia="Times New Roman" w:hAnsi="Times New Roman" w:cs="Times New Roman"/>
          <w:sz w:val="24"/>
          <w:szCs w:val="24"/>
          <w:lang w:bidi="ar-SA"/>
        </w:rPr>
      </w:pPr>
    </w:p>
    <w:p w14:paraId="65CA6AD5" w14:textId="6EA186A6"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b/>
          <w:bCs/>
          <w:color w:val="000000"/>
          <w:lang w:bidi="ar-SA"/>
        </w:rPr>
        <w:t>Non-participating Employees</w:t>
      </w:r>
    </w:p>
    <w:p w14:paraId="21714FD6" w14:textId="77777777" w:rsidR="00F1118A" w:rsidRPr="00F1118A" w:rsidRDefault="00F1118A" w:rsidP="00F1118A">
      <w:pPr>
        <w:widowControl/>
        <w:rPr>
          <w:rFonts w:ascii="Times New Roman" w:eastAsia="Times New Roman" w:hAnsi="Times New Roman" w:cs="Times New Roman"/>
          <w:sz w:val="24"/>
          <w:szCs w:val="24"/>
          <w:lang w:bidi="ar-SA"/>
        </w:rPr>
      </w:pPr>
    </w:p>
    <w:p w14:paraId="0BADD6F0" w14:textId="7E156D73" w:rsidR="0006744C" w:rsidRDefault="00F1118A" w:rsidP="00F1118A">
      <w:pPr>
        <w:widowControl/>
        <w:rPr>
          <w:rFonts w:ascii="Arial" w:eastAsia="Times New Roman" w:hAnsi="Arial" w:cs="Arial"/>
          <w:color w:val="000000"/>
          <w:sz w:val="20"/>
          <w:szCs w:val="20"/>
          <w:lang w:bidi="ar-SA"/>
        </w:rPr>
      </w:pPr>
      <w:r w:rsidRPr="00F1118A">
        <w:rPr>
          <w:rFonts w:ascii="Arial" w:eastAsia="Times New Roman" w:hAnsi="Arial" w:cs="Arial"/>
          <w:color w:val="000000"/>
          <w:sz w:val="20"/>
          <w:szCs w:val="20"/>
          <w:lang w:bidi="ar-SA"/>
        </w:rPr>
        <w:t xml:space="preserve">Existing employees who qualify for health coverage but are not participating in one of our plans are eligible to enroll themselves and/or their dependents during </w:t>
      </w:r>
      <w:r w:rsidR="0006744C">
        <w:rPr>
          <w:rFonts w:ascii="Arial" w:eastAsia="Times New Roman" w:hAnsi="Arial" w:cs="Arial"/>
          <w:color w:val="000000"/>
          <w:sz w:val="20"/>
          <w:szCs w:val="20"/>
          <w:lang w:bidi="ar-SA"/>
        </w:rPr>
        <w:t>Annual</w:t>
      </w:r>
      <w:r w:rsidRPr="00F1118A">
        <w:rPr>
          <w:rFonts w:ascii="Arial" w:eastAsia="Times New Roman" w:hAnsi="Arial" w:cs="Arial"/>
          <w:color w:val="000000"/>
          <w:sz w:val="20"/>
          <w:szCs w:val="20"/>
          <w:lang w:bidi="ar-SA"/>
        </w:rPr>
        <w:t xml:space="preserve"> Enrollment for the </w:t>
      </w:r>
      <w:r w:rsidR="001B7057">
        <w:rPr>
          <w:rFonts w:ascii="Arial" w:eastAsia="Times New Roman" w:hAnsi="Arial" w:cs="Arial"/>
          <w:color w:val="000000"/>
          <w:sz w:val="20"/>
          <w:szCs w:val="20"/>
          <w:lang w:bidi="ar-SA"/>
        </w:rPr>
        <w:t>202</w:t>
      </w:r>
      <w:r w:rsidR="0006744C">
        <w:rPr>
          <w:rFonts w:ascii="Arial" w:eastAsia="Times New Roman" w:hAnsi="Arial" w:cs="Arial"/>
          <w:color w:val="000000"/>
          <w:sz w:val="20"/>
          <w:szCs w:val="20"/>
          <w:lang w:bidi="ar-SA"/>
        </w:rPr>
        <w:t>5</w:t>
      </w:r>
      <w:r w:rsidRPr="00F1118A">
        <w:rPr>
          <w:rFonts w:ascii="Arial" w:eastAsia="Times New Roman" w:hAnsi="Arial" w:cs="Arial"/>
          <w:color w:val="000000"/>
          <w:sz w:val="20"/>
          <w:szCs w:val="20"/>
          <w:lang w:bidi="ar-SA"/>
        </w:rPr>
        <w:t xml:space="preserve"> plan year. </w:t>
      </w:r>
      <w:r w:rsidRPr="00EF20F3">
        <w:rPr>
          <w:rFonts w:ascii="Arial" w:eastAsia="Times New Roman" w:hAnsi="Arial" w:cs="Arial"/>
          <w:color w:val="000000"/>
          <w:sz w:val="20"/>
          <w:szCs w:val="20"/>
          <w:highlight w:val="yellow"/>
          <w:lang w:bidi="ar-SA"/>
        </w:rPr>
        <w:t>Please send a communication to these employees informing them of this option as well as the</w:t>
      </w:r>
      <w:r w:rsidR="00EF20F3" w:rsidRPr="00EF20F3">
        <w:rPr>
          <w:rFonts w:ascii="Arial" w:eastAsia="Times New Roman" w:hAnsi="Arial" w:cs="Arial"/>
          <w:color w:val="000000"/>
          <w:sz w:val="20"/>
          <w:szCs w:val="20"/>
          <w:highlight w:val="yellow"/>
          <w:lang w:bidi="ar-SA"/>
        </w:rPr>
        <w:t xml:space="preserve"> Quantum contact information,</w:t>
      </w:r>
      <w:r w:rsidRPr="00EF20F3">
        <w:rPr>
          <w:rFonts w:ascii="Arial" w:eastAsia="Times New Roman" w:hAnsi="Arial" w:cs="Arial"/>
          <w:color w:val="000000"/>
          <w:sz w:val="20"/>
          <w:szCs w:val="20"/>
          <w:highlight w:val="yellow"/>
          <w:lang w:bidi="ar-SA"/>
        </w:rPr>
        <w:t xml:space="preserve"> plans and rates available to them.</w:t>
      </w:r>
      <w:r w:rsidRPr="00F1118A">
        <w:rPr>
          <w:rFonts w:ascii="Arial" w:eastAsia="Times New Roman" w:hAnsi="Arial" w:cs="Arial"/>
          <w:color w:val="000000"/>
          <w:sz w:val="20"/>
          <w:szCs w:val="20"/>
          <w:lang w:bidi="ar-SA"/>
        </w:rPr>
        <w:t xml:space="preserve"> You may use the enrollment form for new member enrollments and return them to </w:t>
      </w:r>
      <w:r>
        <w:rPr>
          <w:rFonts w:ascii="Arial" w:eastAsia="Times New Roman" w:hAnsi="Arial" w:cs="Arial"/>
          <w:color w:val="000000"/>
          <w:sz w:val="20"/>
          <w:szCs w:val="20"/>
          <w:lang w:bidi="ar-SA"/>
        </w:rPr>
        <w:t>Jennifer Gamberg</w:t>
      </w:r>
      <w:r w:rsidRPr="00F1118A">
        <w:rPr>
          <w:rFonts w:ascii="Arial" w:eastAsia="Times New Roman" w:hAnsi="Arial" w:cs="Arial"/>
          <w:color w:val="000000"/>
          <w:sz w:val="20"/>
          <w:szCs w:val="20"/>
          <w:lang w:bidi="ar-SA"/>
        </w:rPr>
        <w:t xml:space="preserve"> (</w:t>
      </w:r>
      <w:r>
        <w:rPr>
          <w:rFonts w:ascii="Arial" w:eastAsia="Times New Roman" w:hAnsi="Arial" w:cs="Arial"/>
          <w:color w:val="000000"/>
          <w:sz w:val="20"/>
          <w:szCs w:val="20"/>
          <w:lang w:bidi="ar-SA"/>
        </w:rPr>
        <w:t>jennifer.g</w:t>
      </w:r>
      <w:r w:rsidRPr="00F1118A">
        <w:rPr>
          <w:rFonts w:ascii="Arial" w:eastAsia="Times New Roman" w:hAnsi="Arial" w:cs="Arial"/>
          <w:color w:val="000000"/>
          <w:sz w:val="20"/>
          <w:szCs w:val="20"/>
          <w:lang w:bidi="ar-SA"/>
        </w:rPr>
        <w:t xml:space="preserve">@episcopalmn.org) your Missioner for </w:t>
      </w:r>
      <w:r>
        <w:rPr>
          <w:rFonts w:ascii="Arial" w:eastAsia="Times New Roman" w:hAnsi="Arial" w:cs="Arial"/>
          <w:color w:val="000000"/>
          <w:sz w:val="20"/>
          <w:szCs w:val="20"/>
          <w:lang w:bidi="ar-SA"/>
        </w:rPr>
        <w:t>Finance</w:t>
      </w:r>
      <w:r w:rsidRPr="00F1118A">
        <w:rPr>
          <w:rFonts w:ascii="Arial" w:eastAsia="Times New Roman" w:hAnsi="Arial" w:cs="Arial"/>
          <w:color w:val="000000"/>
          <w:sz w:val="20"/>
          <w:szCs w:val="20"/>
          <w:lang w:bidi="ar-SA"/>
        </w:rPr>
        <w:t xml:space="preserve">. </w:t>
      </w:r>
    </w:p>
    <w:p w14:paraId="610119A3" w14:textId="77777777" w:rsidR="0006744C" w:rsidRDefault="0006744C" w:rsidP="00F1118A">
      <w:pPr>
        <w:widowControl/>
        <w:rPr>
          <w:rFonts w:ascii="Arial" w:eastAsia="Times New Roman" w:hAnsi="Arial" w:cs="Arial"/>
          <w:color w:val="000000"/>
          <w:sz w:val="20"/>
          <w:szCs w:val="20"/>
          <w:lang w:bidi="ar-SA"/>
        </w:rPr>
      </w:pPr>
    </w:p>
    <w:p w14:paraId="13109225" w14:textId="271B6512" w:rsidR="00F1118A" w:rsidRPr="00F1118A" w:rsidRDefault="00F1118A" w:rsidP="00F1118A">
      <w:pPr>
        <w:widowControl/>
        <w:rPr>
          <w:rFonts w:ascii="Times New Roman" w:eastAsia="Times New Roman" w:hAnsi="Times New Roman" w:cs="Times New Roman"/>
          <w:sz w:val="24"/>
          <w:szCs w:val="24"/>
          <w:lang w:bidi="ar-SA"/>
        </w:rPr>
      </w:pPr>
      <w:r w:rsidRPr="00F1118A">
        <w:rPr>
          <w:rFonts w:ascii="Arial" w:eastAsia="Times New Roman" w:hAnsi="Arial" w:cs="Arial"/>
          <w:color w:val="000000"/>
          <w:sz w:val="20"/>
          <w:szCs w:val="20"/>
          <w:lang w:bidi="ar-SA"/>
        </w:rPr>
        <w:t>All faith communities within ECMN must participate in the Episcopal Church Medical Trust.</w:t>
      </w:r>
    </w:p>
    <w:p w14:paraId="7DC36144" w14:textId="77777777" w:rsidR="00AA4DCF" w:rsidRDefault="00AA4DCF">
      <w:pPr>
        <w:rPr>
          <w:rFonts w:ascii="Arial" w:eastAsia="Arial" w:hAnsi="Arial" w:cs="Arial"/>
        </w:rPr>
      </w:pPr>
    </w:p>
    <w:sectPr w:rsidR="00AA4DCF">
      <w:headerReference w:type="default" r:id="rId7"/>
      <w:footerReference w:type="default" r:id="rId8"/>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8B7D3" w14:textId="77777777" w:rsidR="007C2321" w:rsidRDefault="007C2321">
      <w:r>
        <w:separator/>
      </w:r>
    </w:p>
  </w:endnote>
  <w:endnote w:type="continuationSeparator" w:id="0">
    <w:p w14:paraId="2141DD5E" w14:textId="77777777" w:rsidR="007C2321" w:rsidRDefault="007C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w:altName w:val="Calibri"/>
    <w:charset w:val="00"/>
    <w:family w:val="auto"/>
    <w:pitch w:val="default"/>
  </w:font>
  <w:font w:name="Avenir-Book">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221E5" w14:textId="77777777" w:rsidR="00AA4DCF" w:rsidRDefault="008352DB">
    <w:pPr>
      <w:pBdr>
        <w:top w:val="nil"/>
        <w:left w:val="nil"/>
        <w:bottom w:val="nil"/>
        <w:right w:val="nil"/>
        <w:between w:val="nil"/>
      </w:pBdr>
      <w:ind w:left="-720"/>
      <w:rPr>
        <w:rFonts w:ascii="Avenir" w:eastAsia="Avenir" w:hAnsi="Avenir" w:cs="Avenir"/>
        <w:color w:val="004FA3"/>
        <w:sz w:val="18"/>
        <w:szCs w:val="18"/>
      </w:rPr>
    </w:pPr>
    <w:r>
      <w:rPr>
        <w:rFonts w:ascii="Avenir" w:eastAsia="Avenir" w:hAnsi="Avenir" w:cs="Avenir"/>
        <w:color w:val="004FA3"/>
        <w:sz w:val="18"/>
        <w:szCs w:val="18"/>
      </w:rPr>
      <w:t xml:space="preserve">1101 W Broadway Avenue Minneapolis, MN </w:t>
    </w:r>
    <w:r>
      <w:rPr>
        <w:noProof/>
        <w:lang w:bidi="ar-SA"/>
      </w:rPr>
      <mc:AlternateContent>
        <mc:Choice Requires="wps">
          <w:drawing>
            <wp:anchor distT="0" distB="0" distL="0" distR="0" simplePos="0" relativeHeight="251659264" behindDoc="0" locked="0" layoutInCell="1" hidden="0" allowOverlap="1" wp14:anchorId="59478E0F" wp14:editId="2921A8FF">
              <wp:simplePos x="0" y="0"/>
              <wp:positionH relativeFrom="column">
                <wp:posOffset>-457199</wp:posOffset>
              </wp:positionH>
              <wp:positionV relativeFrom="paragraph">
                <wp:posOffset>-126999</wp:posOffset>
              </wp:positionV>
              <wp:extent cx="6898640" cy="12700"/>
              <wp:effectExtent l="0" t="0" r="0" b="0"/>
              <wp:wrapSquare wrapText="bothSides" distT="0" distB="0" distL="0" distR="0"/>
              <wp:docPr id="8" name="Straight Arrow Connector 8"/>
              <wp:cNvGraphicFramePr/>
              <a:graphic xmlns:a="http://schemas.openxmlformats.org/drawingml/2006/main">
                <a:graphicData uri="http://schemas.microsoft.com/office/word/2010/wordprocessingShape">
                  <wps:wsp>
                    <wps:cNvCnPr/>
                    <wps:spPr>
                      <a:xfrm>
                        <a:off x="1896680" y="3780000"/>
                        <a:ext cx="6898640" cy="0"/>
                      </a:xfrm>
                      <a:prstGeom prst="straightConnector1">
                        <a:avLst/>
                      </a:prstGeom>
                      <a:noFill/>
                      <a:ln w="12700" cap="flat" cmpd="sng">
                        <a:solidFill>
                          <a:srgbClr val="EAAA21"/>
                        </a:solidFill>
                        <a:prstDash val="solid"/>
                        <a:round/>
                        <a:headEnd type="none" w="med" len="med"/>
                        <a:tailEnd type="none" w="med" len="med"/>
                      </a:ln>
                    </wps:spPr>
                    <wps:bodyPr/>
                  </wps:wsp>
                </a:graphicData>
              </a:graphic>
            </wp:anchor>
          </w:drawing>
        </mc:Choice>
        <mc:Fallback>
          <w:pict>
            <v:shapetype w14:anchorId="4C27C982" id="_x0000_t32" coordsize="21600,21600" o:spt="32" o:oned="t" path="m,l21600,21600e" filled="f">
              <v:path arrowok="t" fillok="f" o:connecttype="none"/>
              <o:lock v:ext="edit" shapetype="t"/>
            </v:shapetype>
            <v:shape id="Straight Arrow Connector 8" o:spid="_x0000_s1026" type="#_x0000_t32" style="position:absolute;margin-left:-36pt;margin-top:-10pt;width:543.2pt;height: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" strokecolor="#eaaa21" strokeweight="1pt">
              <w10:wrap type="square"/>
            </v:shape>
          </w:pict>
        </mc:Fallback>
      </mc:AlternateContent>
    </w:r>
  </w:p>
  <w:p w14:paraId="2C2B1C58" w14:textId="77777777" w:rsidR="00AA4DCF" w:rsidRDefault="008352DB">
    <w:pPr>
      <w:pBdr>
        <w:top w:val="nil"/>
        <w:left w:val="nil"/>
        <w:bottom w:val="nil"/>
        <w:right w:val="nil"/>
        <w:between w:val="nil"/>
      </w:pBdr>
      <w:ind w:left="-720"/>
      <w:rPr>
        <w:rFonts w:ascii="Avenir" w:eastAsia="Avenir" w:hAnsi="Avenir" w:cs="Avenir"/>
        <w:color w:val="024FB0"/>
        <w:sz w:val="18"/>
        <w:szCs w:val="18"/>
      </w:rPr>
    </w:pPr>
    <w:r>
      <w:rPr>
        <w:rFonts w:ascii="Avenir" w:eastAsia="Avenir" w:hAnsi="Avenir" w:cs="Avenir"/>
        <w:color w:val="024FB0"/>
        <w:sz w:val="18"/>
        <w:szCs w:val="18"/>
      </w:rPr>
      <w:t xml:space="preserve">Minneapolis, MN 55411                                  </w:t>
    </w:r>
  </w:p>
  <w:p w14:paraId="0CEB20C2" w14:textId="77777777" w:rsidR="00AA4DCF" w:rsidRDefault="008352DB">
    <w:pPr>
      <w:pBdr>
        <w:top w:val="nil"/>
        <w:left w:val="nil"/>
        <w:bottom w:val="nil"/>
        <w:right w:val="nil"/>
        <w:between w:val="nil"/>
      </w:pBdr>
      <w:ind w:left="-720"/>
      <w:rPr>
        <w:rFonts w:ascii="Avenir" w:eastAsia="Avenir" w:hAnsi="Avenir" w:cs="Avenir"/>
        <w:color w:val="000000"/>
        <w:sz w:val="18"/>
        <w:szCs w:val="18"/>
      </w:rPr>
    </w:pPr>
    <w:r>
      <w:rPr>
        <w:rFonts w:ascii="Avenir" w:eastAsia="Avenir" w:hAnsi="Avenir" w:cs="Avenir"/>
        <w:color w:val="004FA3"/>
        <w:sz w:val="18"/>
        <w:szCs w:val="18"/>
      </w:rPr>
      <w:t xml:space="preserve">612.871.5311 </w:t>
    </w:r>
    <w:r>
      <w:rPr>
        <w:rFonts w:ascii="Avenir" w:eastAsia="Avenir" w:hAnsi="Avenir" w:cs="Avenir"/>
        <w:color w:val="EAAA21"/>
        <w:sz w:val="18"/>
        <w:szCs w:val="18"/>
      </w:rPr>
      <w:t xml:space="preserve">• </w:t>
    </w:r>
    <w:r>
      <w:rPr>
        <w:rFonts w:ascii="Avenir" w:eastAsia="Avenir" w:hAnsi="Avenir" w:cs="Avenir"/>
        <w:color w:val="004FA3"/>
        <w:sz w:val="18"/>
        <w:szCs w:val="18"/>
      </w:rPr>
      <w:t xml:space="preserve">800.596.3839                         </w:t>
    </w:r>
    <w:r>
      <w:rPr>
        <w:rFonts w:ascii="Avenir" w:eastAsia="Avenir" w:hAnsi="Avenir" w:cs="Avenir"/>
        <w:b/>
        <w:i/>
        <w:color w:val="004FA3"/>
        <w:sz w:val="16"/>
        <w:szCs w:val="16"/>
      </w:rPr>
      <w:t>A network of faith communities called to transformation by engaging God’s mission.</w:t>
    </w:r>
  </w:p>
  <w:p w14:paraId="33545C36" w14:textId="77777777" w:rsidR="00AA4DCF" w:rsidRDefault="008352DB">
    <w:pPr>
      <w:pBdr>
        <w:top w:val="nil"/>
        <w:left w:val="nil"/>
        <w:bottom w:val="nil"/>
        <w:right w:val="nil"/>
        <w:between w:val="nil"/>
      </w:pBdr>
      <w:ind w:left="-720"/>
      <w:rPr>
        <w:rFonts w:ascii="Avenir" w:eastAsia="Avenir" w:hAnsi="Avenir" w:cs="Avenir"/>
        <w:color w:val="000000"/>
        <w:sz w:val="18"/>
        <w:szCs w:val="18"/>
      </w:rPr>
    </w:pPr>
    <w:r>
      <w:rPr>
        <w:rFonts w:ascii="Avenir" w:eastAsia="Avenir" w:hAnsi="Avenir" w:cs="Avenir"/>
        <w:color w:val="004FA3"/>
        <w:sz w:val="18"/>
        <w:szCs w:val="18"/>
      </w:rPr>
      <w:t>episcopalmn.org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5BF8D" w14:textId="77777777" w:rsidR="007C2321" w:rsidRDefault="007C2321">
      <w:r>
        <w:separator/>
      </w:r>
    </w:p>
  </w:footnote>
  <w:footnote w:type="continuationSeparator" w:id="0">
    <w:p w14:paraId="4C123747" w14:textId="77777777" w:rsidR="007C2321" w:rsidRDefault="007C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82904" w14:textId="77777777" w:rsidR="00AA4DCF" w:rsidRDefault="008352DB">
    <w:pPr>
      <w:pBdr>
        <w:top w:val="nil"/>
        <w:left w:val="nil"/>
        <w:bottom w:val="nil"/>
        <w:right w:val="nil"/>
        <w:between w:val="nil"/>
      </w:pBdr>
      <w:tabs>
        <w:tab w:val="center" w:pos="4680"/>
        <w:tab w:val="right" w:pos="9360"/>
      </w:tabs>
      <w:rPr>
        <w:rFonts w:ascii="Avenir" w:eastAsia="Avenir" w:hAnsi="Avenir" w:cs="Avenir"/>
        <w:color w:val="000000"/>
      </w:rPr>
    </w:pPr>
    <w:r>
      <w:rPr>
        <w:noProof/>
        <w:lang w:bidi="ar-SA"/>
      </w:rPr>
      <w:drawing>
        <wp:anchor distT="0" distB="0" distL="114300" distR="114300" simplePos="0" relativeHeight="251658240" behindDoc="0" locked="0" layoutInCell="1" hidden="0" allowOverlap="1" wp14:anchorId="11D51F02" wp14:editId="381358EF">
          <wp:simplePos x="0" y="0"/>
          <wp:positionH relativeFrom="column">
            <wp:posOffset>-9982</wp:posOffset>
          </wp:positionH>
          <wp:positionV relativeFrom="paragraph">
            <wp:posOffset>-77376</wp:posOffset>
          </wp:positionV>
          <wp:extent cx="2097405" cy="708660"/>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097405" cy="708660"/>
                  </a:xfrm>
                  <a:prstGeom prst="rect">
                    <a:avLst/>
                  </a:prstGeom>
                  <a:ln/>
                </pic:spPr>
              </pic:pic>
            </a:graphicData>
          </a:graphic>
        </wp:anchor>
      </w:drawing>
    </w:r>
  </w:p>
  <w:p w14:paraId="551A7DE6" w14:textId="77777777" w:rsidR="00AA4DCF" w:rsidRDefault="00AA4DCF">
    <w:pPr>
      <w:pBdr>
        <w:top w:val="nil"/>
        <w:left w:val="nil"/>
        <w:bottom w:val="nil"/>
        <w:right w:val="nil"/>
        <w:between w:val="nil"/>
      </w:pBdr>
      <w:tabs>
        <w:tab w:val="center" w:pos="4680"/>
        <w:tab w:val="right" w:pos="9360"/>
      </w:tabs>
      <w:rPr>
        <w:rFonts w:ascii="Avenir" w:eastAsia="Avenir" w:hAnsi="Avenir" w:cs="Aveni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CF"/>
    <w:rsid w:val="00046DAB"/>
    <w:rsid w:val="0006744C"/>
    <w:rsid w:val="001B7057"/>
    <w:rsid w:val="00240BF3"/>
    <w:rsid w:val="0039632A"/>
    <w:rsid w:val="003E51F2"/>
    <w:rsid w:val="004A01EB"/>
    <w:rsid w:val="004B74EB"/>
    <w:rsid w:val="005A404C"/>
    <w:rsid w:val="005E1124"/>
    <w:rsid w:val="005F415C"/>
    <w:rsid w:val="006728B2"/>
    <w:rsid w:val="0070421B"/>
    <w:rsid w:val="00757563"/>
    <w:rsid w:val="0079551F"/>
    <w:rsid w:val="007C2321"/>
    <w:rsid w:val="008352DB"/>
    <w:rsid w:val="008E01C1"/>
    <w:rsid w:val="00AA4DCF"/>
    <w:rsid w:val="00B57ADB"/>
    <w:rsid w:val="00B775FF"/>
    <w:rsid w:val="00D1330A"/>
    <w:rsid w:val="00D203B1"/>
    <w:rsid w:val="00DB06C6"/>
    <w:rsid w:val="00E81227"/>
    <w:rsid w:val="00EF20F3"/>
    <w:rsid w:val="00F1118A"/>
    <w:rsid w:val="00FA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112A"/>
  <w15:docId w15:val="{C9C3E750-5302-4E76-8D67-94410D0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w:eastAsia="Avenir" w:hAnsi="Avenir" w:cs="Avenir"/>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Book" w:eastAsia="Avenir-Book" w:hAnsi="Avenir-Book" w:cs="Avenir-Book"/>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7629"/>
    <w:pPr>
      <w:tabs>
        <w:tab w:val="center" w:pos="4680"/>
        <w:tab w:val="right" w:pos="9360"/>
      </w:tabs>
    </w:pPr>
  </w:style>
  <w:style w:type="character" w:customStyle="1" w:styleId="HeaderChar">
    <w:name w:val="Header Char"/>
    <w:basedOn w:val="DefaultParagraphFont"/>
    <w:link w:val="Header"/>
    <w:uiPriority w:val="99"/>
    <w:rsid w:val="00057629"/>
    <w:rPr>
      <w:rFonts w:ascii="Avenir-Book" w:eastAsia="Avenir-Book" w:hAnsi="Avenir-Book" w:cs="Avenir-Book"/>
      <w:lang w:bidi="en-US"/>
    </w:rPr>
  </w:style>
  <w:style w:type="paragraph" w:styleId="Footer">
    <w:name w:val="footer"/>
    <w:basedOn w:val="Normal"/>
    <w:link w:val="FooterChar"/>
    <w:uiPriority w:val="99"/>
    <w:unhideWhenUsed/>
    <w:rsid w:val="00057629"/>
    <w:pPr>
      <w:tabs>
        <w:tab w:val="center" w:pos="4680"/>
        <w:tab w:val="right" w:pos="9360"/>
      </w:tabs>
    </w:pPr>
  </w:style>
  <w:style w:type="character" w:customStyle="1" w:styleId="FooterChar">
    <w:name w:val="Footer Char"/>
    <w:basedOn w:val="DefaultParagraphFont"/>
    <w:link w:val="Footer"/>
    <w:uiPriority w:val="99"/>
    <w:rsid w:val="00057629"/>
    <w:rPr>
      <w:rFonts w:ascii="Avenir-Book" w:eastAsia="Avenir-Book" w:hAnsi="Avenir-Book" w:cs="Avenir-Book"/>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1118A"/>
    <w:pPr>
      <w:widowControl/>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14117">
      <w:bodyDiv w:val="1"/>
      <w:marLeft w:val="0"/>
      <w:marRight w:val="0"/>
      <w:marTop w:val="0"/>
      <w:marBottom w:val="0"/>
      <w:divBdr>
        <w:top w:val="none" w:sz="0" w:space="0" w:color="auto"/>
        <w:left w:val="none" w:sz="0" w:space="0" w:color="auto"/>
        <w:bottom w:val="none" w:sz="0" w:space="0" w:color="auto"/>
        <w:right w:val="none" w:sz="0" w:space="0" w:color="auto"/>
      </w:divBdr>
      <w:divsChild>
        <w:div w:id="196084088">
          <w:marLeft w:val="0"/>
          <w:marRight w:val="0"/>
          <w:marTop w:val="0"/>
          <w:marBottom w:val="0"/>
          <w:divBdr>
            <w:top w:val="none" w:sz="0" w:space="0" w:color="auto"/>
            <w:left w:val="none" w:sz="0" w:space="0" w:color="auto"/>
            <w:bottom w:val="none" w:sz="0" w:space="0" w:color="auto"/>
            <w:right w:val="none" w:sz="0" w:space="0" w:color="auto"/>
          </w:divBdr>
        </w:div>
      </w:divsChild>
    </w:div>
    <w:div w:id="555897067">
      <w:bodyDiv w:val="1"/>
      <w:marLeft w:val="0"/>
      <w:marRight w:val="0"/>
      <w:marTop w:val="0"/>
      <w:marBottom w:val="0"/>
      <w:divBdr>
        <w:top w:val="none" w:sz="0" w:space="0" w:color="auto"/>
        <w:left w:val="none" w:sz="0" w:space="0" w:color="auto"/>
        <w:bottom w:val="none" w:sz="0" w:space="0" w:color="auto"/>
        <w:right w:val="none" w:sz="0" w:space="0" w:color="auto"/>
      </w:divBdr>
    </w:div>
    <w:div w:id="1518275535">
      <w:bodyDiv w:val="1"/>
      <w:marLeft w:val="0"/>
      <w:marRight w:val="0"/>
      <w:marTop w:val="0"/>
      <w:marBottom w:val="0"/>
      <w:divBdr>
        <w:top w:val="none" w:sz="0" w:space="0" w:color="auto"/>
        <w:left w:val="none" w:sz="0" w:space="0" w:color="auto"/>
        <w:bottom w:val="none" w:sz="0" w:space="0" w:color="auto"/>
        <w:right w:val="none" w:sz="0" w:space="0" w:color="auto"/>
      </w:divBdr>
      <w:divsChild>
        <w:div w:id="1626035026">
          <w:marLeft w:val="0"/>
          <w:marRight w:val="0"/>
          <w:marTop w:val="0"/>
          <w:marBottom w:val="0"/>
          <w:divBdr>
            <w:top w:val="none" w:sz="0" w:space="0" w:color="auto"/>
            <w:left w:val="none" w:sz="0" w:space="0" w:color="auto"/>
            <w:bottom w:val="none" w:sz="0" w:space="0" w:color="auto"/>
            <w:right w:val="none" w:sz="0" w:space="0" w:color="auto"/>
          </w:divBdr>
        </w:div>
      </w:divsChild>
    </w:div>
    <w:div w:id="1587182384">
      <w:bodyDiv w:val="1"/>
      <w:marLeft w:val="0"/>
      <w:marRight w:val="0"/>
      <w:marTop w:val="0"/>
      <w:marBottom w:val="0"/>
      <w:divBdr>
        <w:top w:val="none" w:sz="0" w:space="0" w:color="auto"/>
        <w:left w:val="none" w:sz="0" w:space="0" w:color="auto"/>
        <w:bottom w:val="none" w:sz="0" w:space="0" w:color="auto"/>
        <w:right w:val="none" w:sz="0" w:space="0" w:color="auto"/>
      </w:divBdr>
      <w:divsChild>
        <w:div w:id="659847119">
          <w:marLeft w:val="-7"/>
          <w:marRight w:val="0"/>
          <w:marTop w:val="0"/>
          <w:marBottom w:val="0"/>
          <w:divBdr>
            <w:top w:val="none" w:sz="0" w:space="0" w:color="auto"/>
            <w:left w:val="none" w:sz="0" w:space="0" w:color="auto"/>
            <w:bottom w:val="none" w:sz="0" w:space="0" w:color="auto"/>
            <w:right w:val="none" w:sz="0" w:space="0" w:color="auto"/>
          </w:divBdr>
        </w:div>
      </w:divsChild>
    </w:div>
    <w:div w:id="1702197758">
      <w:bodyDiv w:val="1"/>
      <w:marLeft w:val="0"/>
      <w:marRight w:val="0"/>
      <w:marTop w:val="0"/>
      <w:marBottom w:val="0"/>
      <w:divBdr>
        <w:top w:val="none" w:sz="0" w:space="0" w:color="auto"/>
        <w:left w:val="none" w:sz="0" w:space="0" w:color="auto"/>
        <w:bottom w:val="none" w:sz="0" w:space="0" w:color="auto"/>
        <w:right w:val="none" w:sz="0" w:space="0" w:color="auto"/>
      </w:divBdr>
    </w:div>
    <w:div w:id="1757554281">
      <w:bodyDiv w:val="1"/>
      <w:marLeft w:val="0"/>
      <w:marRight w:val="0"/>
      <w:marTop w:val="0"/>
      <w:marBottom w:val="0"/>
      <w:divBdr>
        <w:top w:val="none" w:sz="0" w:space="0" w:color="auto"/>
        <w:left w:val="none" w:sz="0" w:space="0" w:color="auto"/>
        <w:bottom w:val="none" w:sz="0" w:space="0" w:color="auto"/>
        <w:right w:val="none" w:sz="0" w:space="0" w:color="auto"/>
      </w:divBdr>
      <w:divsChild>
        <w:div w:id="298266940">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uShXZtOZqPsCXZD07acEi9MBnQ==">AMUW2mW2G81gvYttDTXDnIHr7YgcxBaRgCBjzV7e3bCzDkZaw/ysbiCqSPvCXigUAUu88TMNKld1ODVH9c0OOpqC21Y/b1dVaDER9CufWDw8TjYJGB0Iw80=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Jennifer Gamberg</cp:lastModifiedBy>
  <cp:revision>4</cp:revision>
  <dcterms:created xsi:type="dcterms:W3CDTF">2023-09-07T14:50:00Z</dcterms:created>
  <dcterms:modified xsi:type="dcterms:W3CDTF">2024-09-19T20:15:00Z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Adobe InDesign CC 13.0 (Macintosh)</vt:lpwstr>
  </property>
  <property fmtid="{D5CDD505-2E9C-101B-9397-08002B2CF9AE}" pid="4" name="LastSaved">
    <vt:filetime>2017-12-12T00:00:00Z</vt:filetime>
  </property>
</Properties>
</file>